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EE003" w14:textId="0149BDD3" w:rsidR="00304E3E" w:rsidRDefault="00304E3E" w:rsidP="00304E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Attachment 2</w:t>
      </w:r>
    </w:p>
    <w:p w14:paraId="7E30D5E0" w14:textId="581FBA82" w:rsidR="00304E3E" w:rsidRDefault="007224E5" w:rsidP="00304E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109420 O3</w:t>
      </w:r>
      <w:bookmarkStart w:id="0" w:name="_GoBack"/>
      <w:bookmarkEnd w:id="0"/>
      <w:r w:rsidR="00304E3E">
        <w:rPr>
          <w:rFonts w:ascii="Arial" w:hAnsi="Arial" w:cs="Arial"/>
          <w:b/>
          <w:sz w:val="28"/>
          <w:szCs w:val="28"/>
        </w:rPr>
        <w:t xml:space="preserve"> Cost Proposal</w:t>
      </w:r>
    </w:p>
    <w:p w14:paraId="25BE7C0D" w14:textId="77777777" w:rsidR="00A4408A" w:rsidRDefault="00A4408A" w:rsidP="00304E3E">
      <w:pPr>
        <w:jc w:val="center"/>
        <w:rPr>
          <w:rFonts w:ascii="Arial" w:hAnsi="Arial" w:cs="Arial"/>
          <w:b/>
          <w:sz w:val="28"/>
          <w:szCs w:val="28"/>
        </w:rPr>
      </w:pPr>
    </w:p>
    <w:p w14:paraId="6FDF1800" w14:textId="5CDAF635" w:rsidR="00A4408A" w:rsidRPr="00A4408A" w:rsidRDefault="00A4408A" w:rsidP="00A4408A">
      <w:pPr>
        <w:rPr>
          <w:rFonts w:ascii="Arial" w:hAnsi="Arial" w:cs="Arial"/>
          <w:b/>
          <w:sz w:val="24"/>
          <w:szCs w:val="28"/>
        </w:rPr>
      </w:pPr>
      <w:r w:rsidRPr="00A4408A">
        <w:rPr>
          <w:rFonts w:ascii="Arial" w:hAnsi="Arial" w:cs="Arial"/>
          <w:b/>
          <w:sz w:val="24"/>
          <w:szCs w:val="28"/>
        </w:rPr>
        <w:t xml:space="preserve">Company Name: </w:t>
      </w:r>
      <w:r w:rsidRPr="00A4408A">
        <w:rPr>
          <w:rFonts w:ascii="Arial" w:hAnsi="Arial" w:cs="Arial"/>
          <w:b/>
          <w:sz w:val="24"/>
          <w:szCs w:val="28"/>
        </w:rPr>
        <w:softHyphen/>
      </w:r>
      <w:r w:rsidRPr="00A4408A">
        <w:rPr>
          <w:rFonts w:ascii="Arial" w:hAnsi="Arial" w:cs="Arial"/>
          <w:b/>
          <w:sz w:val="24"/>
          <w:szCs w:val="28"/>
        </w:rPr>
        <w:softHyphen/>
      </w:r>
      <w:r w:rsidRPr="00A4408A">
        <w:rPr>
          <w:rFonts w:ascii="Arial" w:hAnsi="Arial" w:cs="Arial"/>
          <w:b/>
          <w:sz w:val="24"/>
          <w:szCs w:val="28"/>
        </w:rPr>
        <w:softHyphen/>
      </w:r>
      <w:r w:rsidRPr="00A4408A">
        <w:rPr>
          <w:rFonts w:ascii="Arial" w:hAnsi="Arial" w:cs="Arial"/>
          <w:b/>
          <w:sz w:val="24"/>
          <w:szCs w:val="28"/>
        </w:rPr>
        <w:softHyphen/>
      </w:r>
      <w:r w:rsidRPr="00A4408A">
        <w:rPr>
          <w:rFonts w:ascii="Arial" w:hAnsi="Arial" w:cs="Arial"/>
          <w:b/>
          <w:sz w:val="24"/>
          <w:szCs w:val="28"/>
        </w:rPr>
        <w:softHyphen/>
      </w:r>
      <w:r w:rsidRPr="00A4408A">
        <w:rPr>
          <w:rFonts w:ascii="Arial" w:hAnsi="Arial" w:cs="Arial"/>
          <w:b/>
          <w:sz w:val="24"/>
          <w:szCs w:val="28"/>
        </w:rPr>
        <w:softHyphen/>
      </w:r>
      <w:r w:rsidRPr="00A4408A">
        <w:rPr>
          <w:rFonts w:ascii="Arial" w:hAnsi="Arial" w:cs="Arial"/>
          <w:b/>
          <w:sz w:val="24"/>
          <w:szCs w:val="28"/>
        </w:rPr>
        <w:softHyphen/>
      </w:r>
      <w:r w:rsidRPr="00A4408A">
        <w:rPr>
          <w:rFonts w:ascii="Arial" w:hAnsi="Arial" w:cs="Arial"/>
          <w:b/>
          <w:sz w:val="24"/>
          <w:szCs w:val="28"/>
        </w:rPr>
        <w:softHyphen/>
      </w:r>
      <w:r w:rsidRPr="00A4408A">
        <w:rPr>
          <w:rFonts w:ascii="Arial" w:hAnsi="Arial" w:cs="Arial"/>
          <w:b/>
          <w:sz w:val="24"/>
          <w:szCs w:val="28"/>
        </w:rPr>
        <w:softHyphen/>
      </w:r>
      <w:r w:rsidRPr="00A4408A">
        <w:rPr>
          <w:rFonts w:ascii="Arial" w:hAnsi="Arial" w:cs="Arial"/>
          <w:b/>
          <w:sz w:val="24"/>
          <w:szCs w:val="28"/>
        </w:rPr>
        <w:softHyphen/>
      </w:r>
      <w:r w:rsidRPr="00A4408A">
        <w:rPr>
          <w:rFonts w:ascii="Arial" w:hAnsi="Arial" w:cs="Arial"/>
          <w:b/>
          <w:sz w:val="24"/>
          <w:szCs w:val="28"/>
        </w:rPr>
        <w:softHyphen/>
      </w:r>
      <w:r w:rsidRPr="00A4408A">
        <w:rPr>
          <w:rFonts w:ascii="Arial" w:hAnsi="Arial" w:cs="Arial"/>
          <w:b/>
          <w:sz w:val="24"/>
          <w:szCs w:val="28"/>
        </w:rPr>
        <w:softHyphen/>
      </w:r>
      <w:r w:rsidRPr="00A4408A">
        <w:rPr>
          <w:rFonts w:ascii="Arial" w:hAnsi="Arial" w:cs="Arial"/>
          <w:b/>
          <w:sz w:val="24"/>
          <w:szCs w:val="28"/>
        </w:rPr>
        <w:softHyphen/>
      </w:r>
      <w:r w:rsidRPr="00A4408A">
        <w:rPr>
          <w:rFonts w:ascii="Arial" w:hAnsi="Arial" w:cs="Arial"/>
          <w:b/>
          <w:sz w:val="24"/>
          <w:szCs w:val="28"/>
        </w:rPr>
        <w:softHyphen/>
      </w:r>
      <w:r w:rsidRPr="00A4408A">
        <w:rPr>
          <w:rFonts w:ascii="Arial" w:hAnsi="Arial" w:cs="Arial"/>
          <w:b/>
          <w:sz w:val="24"/>
          <w:szCs w:val="28"/>
        </w:rPr>
        <w:softHyphen/>
        <w:t>______________________________________________________</w:t>
      </w:r>
    </w:p>
    <w:p w14:paraId="07D080C9" w14:textId="77777777" w:rsidR="00A4408A" w:rsidRDefault="00A4408A">
      <w:pPr>
        <w:rPr>
          <w:rFonts w:ascii="Arial" w:hAnsi="Arial" w:cs="Arial"/>
          <w:sz w:val="20"/>
          <w:szCs w:val="20"/>
        </w:rPr>
      </w:pPr>
    </w:p>
    <w:p w14:paraId="25C148CB" w14:textId="661D2991" w:rsidR="00E06DD8" w:rsidRPr="00575813" w:rsidRDefault="005758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Pricing should be provided for the below, that will be billed to the Credential Holder. The </w:t>
      </w:r>
      <w:r w:rsidRPr="00575813">
        <w:rPr>
          <w:rFonts w:ascii="Arial" w:hAnsi="Arial" w:cs="Arial"/>
          <w:sz w:val="20"/>
          <w:szCs w:val="20"/>
        </w:rPr>
        <w:t>State of Nebraska</w:t>
      </w:r>
      <w:r>
        <w:rPr>
          <w:rFonts w:ascii="Arial" w:hAnsi="Arial" w:cs="Arial"/>
          <w:sz w:val="20"/>
          <w:szCs w:val="20"/>
        </w:rPr>
        <w:t xml:space="preserve"> will not reimburse for nonpayment. </w:t>
      </w:r>
      <w:r w:rsidR="0082233E">
        <w:rPr>
          <w:rFonts w:ascii="Arial" w:hAnsi="Arial" w:cs="Arial"/>
          <w:sz w:val="20"/>
          <w:szCs w:val="20"/>
        </w:rPr>
        <w:t xml:space="preserve">Please refer to section V.D.6. Fee Collection </w:t>
      </w:r>
      <w:r>
        <w:rPr>
          <w:rFonts w:ascii="Arial" w:hAnsi="Arial" w:cs="Arial"/>
          <w:sz w:val="20"/>
          <w:szCs w:val="20"/>
        </w:rPr>
        <w:t xml:space="preserve">of the RFP.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"/>
        <w:gridCol w:w="4717"/>
        <w:gridCol w:w="1312"/>
        <w:gridCol w:w="1515"/>
        <w:gridCol w:w="2524"/>
      </w:tblGrid>
      <w:tr w:rsidR="00A4408A" w:rsidRPr="00575813" w14:paraId="21AD1464" w14:textId="77777777" w:rsidTr="00A4408A">
        <w:tc>
          <w:tcPr>
            <w:tcW w:w="722" w:type="dxa"/>
          </w:tcPr>
          <w:p w14:paraId="2209E27E" w14:textId="3B631125" w:rsidR="00A4408A" w:rsidRPr="00575813" w:rsidRDefault="00A4408A" w:rsidP="00E12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813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717" w:type="dxa"/>
          </w:tcPr>
          <w:p w14:paraId="356D1A2C" w14:textId="16039222" w:rsidR="00A4408A" w:rsidRPr="00575813" w:rsidRDefault="00A4408A" w:rsidP="00E12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813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312" w:type="dxa"/>
          </w:tcPr>
          <w:p w14:paraId="2A7A66C7" w14:textId="08A77B92" w:rsidR="00A4408A" w:rsidRPr="00575813" w:rsidRDefault="00A4408A" w:rsidP="00E12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Quantity Per Year</w:t>
            </w:r>
          </w:p>
        </w:tc>
        <w:tc>
          <w:tcPr>
            <w:tcW w:w="1515" w:type="dxa"/>
          </w:tcPr>
          <w:p w14:paraId="3591E83F" w14:textId="465AF51E" w:rsidR="00A4408A" w:rsidRPr="00575813" w:rsidRDefault="00A4408A" w:rsidP="00E12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813">
              <w:rPr>
                <w:rFonts w:ascii="Arial" w:hAnsi="Arial" w:cs="Arial"/>
                <w:b/>
                <w:sz w:val="20"/>
                <w:szCs w:val="20"/>
              </w:rPr>
              <w:t>Unit of Measure</w:t>
            </w:r>
          </w:p>
        </w:tc>
        <w:tc>
          <w:tcPr>
            <w:tcW w:w="2524" w:type="dxa"/>
          </w:tcPr>
          <w:p w14:paraId="398796B3" w14:textId="026623BC" w:rsidR="00A4408A" w:rsidRPr="00575813" w:rsidRDefault="00A4408A" w:rsidP="00E12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813">
              <w:rPr>
                <w:rFonts w:ascii="Arial" w:hAnsi="Arial" w:cs="Arial"/>
                <w:b/>
                <w:sz w:val="20"/>
                <w:szCs w:val="20"/>
              </w:rPr>
              <w:t>Price to Credential Holder</w:t>
            </w:r>
          </w:p>
        </w:tc>
      </w:tr>
      <w:tr w:rsidR="00A4408A" w:rsidRPr="00575813" w14:paraId="21373D3E" w14:textId="77777777" w:rsidTr="00A4408A">
        <w:tc>
          <w:tcPr>
            <w:tcW w:w="722" w:type="dxa"/>
          </w:tcPr>
          <w:p w14:paraId="441819E1" w14:textId="420C5DB3" w:rsidR="00A4408A" w:rsidRPr="00575813" w:rsidRDefault="00A4408A" w:rsidP="00DB186A">
            <w:pPr>
              <w:rPr>
                <w:rFonts w:ascii="Arial" w:hAnsi="Arial" w:cs="Arial"/>
                <w:sz w:val="20"/>
                <w:szCs w:val="20"/>
              </w:rPr>
            </w:pPr>
            <w:r w:rsidRPr="005758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17" w:type="dxa"/>
          </w:tcPr>
          <w:p w14:paraId="07F3FF1F" w14:textId="0A88FB29" w:rsidR="00A4408A" w:rsidRPr="00575813" w:rsidRDefault="00A4408A" w:rsidP="00DB186A">
            <w:pPr>
              <w:rPr>
                <w:rFonts w:ascii="Arial" w:hAnsi="Arial" w:cs="Arial"/>
                <w:sz w:val="20"/>
                <w:szCs w:val="20"/>
              </w:rPr>
            </w:pPr>
            <w:r w:rsidRPr="00575813">
              <w:rPr>
                <w:rFonts w:ascii="Arial" w:hAnsi="Arial" w:cs="Arial"/>
                <w:sz w:val="20"/>
                <w:szCs w:val="20"/>
              </w:rPr>
              <w:t>Test code PA59-9 Panel/Ecstasy/ Fentanyl/</w:t>
            </w:r>
            <w:proofErr w:type="spellStart"/>
            <w:r w:rsidRPr="00575813">
              <w:rPr>
                <w:rFonts w:ascii="Arial" w:hAnsi="Arial" w:cs="Arial"/>
                <w:sz w:val="20"/>
                <w:szCs w:val="20"/>
              </w:rPr>
              <w:t>Meprobamate</w:t>
            </w:r>
            <w:proofErr w:type="spellEnd"/>
            <w:r w:rsidRPr="00575813">
              <w:rPr>
                <w:rFonts w:ascii="Arial" w:hAnsi="Arial" w:cs="Arial"/>
                <w:sz w:val="20"/>
                <w:szCs w:val="20"/>
              </w:rPr>
              <w:t>, including specimen collection and testing fee</w:t>
            </w:r>
          </w:p>
        </w:tc>
        <w:tc>
          <w:tcPr>
            <w:tcW w:w="1312" w:type="dxa"/>
          </w:tcPr>
          <w:p w14:paraId="1D04843F" w14:textId="4458CA7F" w:rsidR="00A4408A" w:rsidRPr="00575813" w:rsidRDefault="00D33C62" w:rsidP="00D33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15" w:type="dxa"/>
          </w:tcPr>
          <w:p w14:paraId="368F03FB" w14:textId="34C5A2D5" w:rsidR="00A4408A" w:rsidRPr="00575813" w:rsidRDefault="00A4408A" w:rsidP="00DB186A">
            <w:pPr>
              <w:rPr>
                <w:rFonts w:ascii="Arial" w:hAnsi="Arial" w:cs="Arial"/>
                <w:sz w:val="20"/>
                <w:szCs w:val="20"/>
              </w:rPr>
            </w:pPr>
            <w:r w:rsidRPr="00575813"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524" w:type="dxa"/>
          </w:tcPr>
          <w:p w14:paraId="2798851C" w14:textId="77777777" w:rsidR="00A4408A" w:rsidRPr="00575813" w:rsidRDefault="00A4408A" w:rsidP="00DB18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08A" w:rsidRPr="00575813" w14:paraId="746EBEB1" w14:textId="77777777" w:rsidTr="00A4408A">
        <w:tc>
          <w:tcPr>
            <w:tcW w:w="722" w:type="dxa"/>
          </w:tcPr>
          <w:p w14:paraId="4B795866" w14:textId="6F7382C0" w:rsidR="00A4408A" w:rsidRPr="00575813" w:rsidRDefault="00A4408A" w:rsidP="00DB186A">
            <w:pPr>
              <w:rPr>
                <w:rFonts w:ascii="Arial" w:hAnsi="Arial" w:cs="Arial"/>
                <w:sz w:val="20"/>
                <w:szCs w:val="20"/>
              </w:rPr>
            </w:pPr>
            <w:r w:rsidRPr="005758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17" w:type="dxa"/>
          </w:tcPr>
          <w:p w14:paraId="5F354498" w14:textId="2655FA8A" w:rsidR="00A4408A" w:rsidRPr="00575813" w:rsidRDefault="00A4408A" w:rsidP="00DB186A">
            <w:pPr>
              <w:rPr>
                <w:rFonts w:ascii="Arial" w:hAnsi="Arial" w:cs="Arial"/>
                <w:sz w:val="20"/>
                <w:szCs w:val="20"/>
              </w:rPr>
            </w:pPr>
            <w:r w:rsidRPr="00575813">
              <w:rPr>
                <w:rFonts w:ascii="Arial" w:hAnsi="Arial" w:cs="Arial"/>
                <w:sz w:val="20"/>
                <w:szCs w:val="20"/>
              </w:rPr>
              <w:t>Ethyl Glucuronide/Ethyl Sulfate (</w:t>
            </w:r>
            <w:proofErr w:type="spellStart"/>
            <w:r w:rsidRPr="00575813">
              <w:rPr>
                <w:rFonts w:ascii="Arial" w:hAnsi="Arial" w:cs="Arial"/>
                <w:sz w:val="20"/>
                <w:szCs w:val="20"/>
              </w:rPr>
              <w:t>EtG</w:t>
            </w:r>
            <w:proofErr w:type="spellEnd"/>
            <w:r w:rsidRPr="0057581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75813">
              <w:rPr>
                <w:rFonts w:ascii="Arial" w:hAnsi="Arial" w:cs="Arial"/>
                <w:sz w:val="20"/>
                <w:szCs w:val="20"/>
              </w:rPr>
              <w:t>EtS</w:t>
            </w:r>
            <w:proofErr w:type="spellEnd"/>
            <w:r w:rsidRPr="00575813">
              <w:rPr>
                <w:rFonts w:ascii="Arial" w:hAnsi="Arial" w:cs="Arial"/>
                <w:sz w:val="20"/>
                <w:szCs w:val="20"/>
              </w:rPr>
              <w:t>) testing, including specimen collection and testing fee</w:t>
            </w:r>
          </w:p>
        </w:tc>
        <w:tc>
          <w:tcPr>
            <w:tcW w:w="1312" w:type="dxa"/>
          </w:tcPr>
          <w:p w14:paraId="57C4FF34" w14:textId="72D4532B" w:rsidR="00A4408A" w:rsidRPr="00575813" w:rsidRDefault="00D33C62" w:rsidP="00D33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515" w:type="dxa"/>
          </w:tcPr>
          <w:p w14:paraId="19956997" w14:textId="51522792" w:rsidR="00A4408A" w:rsidRPr="00575813" w:rsidRDefault="00A4408A" w:rsidP="00DB186A">
            <w:pPr>
              <w:rPr>
                <w:rFonts w:ascii="Arial" w:hAnsi="Arial" w:cs="Arial"/>
                <w:sz w:val="20"/>
                <w:szCs w:val="20"/>
              </w:rPr>
            </w:pPr>
            <w:r w:rsidRPr="00575813"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524" w:type="dxa"/>
          </w:tcPr>
          <w:p w14:paraId="14008EB0" w14:textId="77777777" w:rsidR="00A4408A" w:rsidRPr="00575813" w:rsidRDefault="00A4408A" w:rsidP="00DB18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08A" w:rsidRPr="00575813" w14:paraId="6028202A" w14:textId="77777777" w:rsidTr="00A4408A">
        <w:tc>
          <w:tcPr>
            <w:tcW w:w="722" w:type="dxa"/>
          </w:tcPr>
          <w:p w14:paraId="76507301" w14:textId="44F9C84C" w:rsidR="00A4408A" w:rsidRPr="00575813" w:rsidRDefault="00A4408A" w:rsidP="00DB1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17" w:type="dxa"/>
          </w:tcPr>
          <w:p w14:paraId="0BC22E4D" w14:textId="4C5A65A9" w:rsidR="00A4408A" w:rsidRPr="00575813" w:rsidRDefault="00A4408A" w:rsidP="00A4408A">
            <w:pPr>
              <w:rPr>
                <w:rFonts w:ascii="Arial" w:hAnsi="Arial" w:cs="Arial"/>
                <w:sz w:val="20"/>
                <w:szCs w:val="20"/>
              </w:rPr>
            </w:pPr>
            <w:r w:rsidRPr="00575813">
              <w:rPr>
                <w:rFonts w:ascii="Arial" w:hAnsi="Arial" w:cs="Arial"/>
                <w:sz w:val="20"/>
                <w:szCs w:val="20"/>
              </w:rPr>
              <w:t xml:space="preserve">Administrative Fee. (Per Credential Holder, per year for auditing program, establishing initial collection site set-up, and all administrative functions of the program, such as telephone calls and preparation of reports. The administration fee shall be assessed to a </w:t>
            </w:r>
            <w:r>
              <w:rPr>
                <w:rFonts w:ascii="Arial" w:hAnsi="Arial" w:cs="Arial"/>
                <w:sz w:val="20"/>
                <w:szCs w:val="20"/>
              </w:rPr>
              <w:t>credential holder</w:t>
            </w:r>
            <w:r w:rsidRPr="00575813">
              <w:rPr>
                <w:rFonts w:ascii="Arial" w:hAnsi="Arial" w:cs="Arial"/>
                <w:sz w:val="20"/>
                <w:szCs w:val="20"/>
              </w:rPr>
              <w:t xml:space="preserve"> only one time during the term of the Contract.)</w:t>
            </w:r>
          </w:p>
        </w:tc>
        <w:tc>
          <w:tcPr>
            <w:tcW w:w="1312" w:type="dxa"/>
          </w:tcPr>
          <w:p w14:paraId="1DFAF695" w14:textId="5DE3CD6E" w:rsidR="00A4408A" w:rsidRPr="00575813" w:rsidRDefault="00D33C62" w:rsidP="00D33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515" w:type="dxa"/>
          </w:tcPr>
          <w:p w14:paraId="3376EEA7" w14:textId="3B7F4EB3" w:rsidR="00A4408A" w:rsidRPr="00575813" w:rsidRDefault="00A4408A" w:rsidP="00DB186A">
            <w:pPr>
              <w:rPr>
                <w:rFonts w:ascii="Arial" w:hAnsi="Arial" w:cs="Arial"/>
                <w:sz w:val="20"/>
                <w:szCs w:val="20"/>
              </w:rPr>
            </w:pPr>
            <w:r w:rsidRPr="00575813"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524" w:type="dxa"/>
          </w:tcPr>
          <w:p w14:paraId="74AE5CB9" w14:textId="77777777" w:rsidR="00A4408A" w:rsidRPr="00575813" w:rsidRDefault="00A4408A" w:rsidP="00DB18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08A" w:rsidRPr="00575813" w14:paraId="2104BA89" w14:textId="77777777" w:rsidTr="00A4408A">
        <w:tc>
          <w:tcPr>
            <w:tcW w:w="722" w:type="dxa"/>
          </w:tcPr>
          <w:p w14:paraId="62229847" w14:textId="45E40BF7" w:rsidR="00A4408A" w:rsidRPr="00575813" w:rsidRDefault="00A4408A" w:rsidP="00DB1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17" w:type="dxa"/>
          </w:tcPr>
          <w:p w14:paraId="2F083F22" w14:textId="3FD9540A" w:rsidR="00A4408A" w:rsidRPr="00575813" w:rsidRDefault="00A4408A" w:rsidP="00DB186A">
            <w:pPr>
              <w:rPr>
                <w:rFonts w:ascii="Arial" w:hAnsi="Arial" w:cs="Arial"/>
                <w:sz w:val="20"/>
                <w:szCs w:val="20"/>
              </w:rPr>
            </w:pPr>
            <w:r w:rsidRPr="00575813">
              <w:rPr>
                <w:rFonts w:ascii="Arial" w:hAnsi="Arial" w:cs="Arial"/>
                <w:sz w:val="20"/>
                <w:szCs w:val="20"/>
              </w:rPr>
              <w:t>Retes</w:t>
            </w:r>
            <w:r>
              <w:rPr>
                <w:rFonts w:ascii="Arial" w:hAnsi="Arial" w:cs="Arial"/>
                <w:sz w:val="20"/>
                <w:szCs w:val="20"/>
              </w:rPr>
              <w:t>t/Confirmation tes</w:t>
            </w:r>
            <w:r w:rsidRPr="00575813">
              <w:rPr>
                <w:rFonts w:ascii="Arial" w:hAnsi="Arial" w:cs="Arial"/>
                <w:sz w:val="20"/>
                <w:szCs w:val="20"/>
              </w:rPr>
              <w:t>t Fee</w:t>
            </w:r>
          </w:p>
        </w:tc>
        <w:tc>
          <w:tcPr>
            <w:tcW w:w="1312" w:type="dxa"/>
          </w:tcPr>
          <w:p w14:paraId="058DDD1D" w14:textId="28BD5F1D" w:rsidR="00A4408A" w:rsidRPr="00575813" w:rsidRDefault="00D33C62" w:rsidP="00D33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15" w:type="dxa"/>
          </w:tcPr>
          <w:p w14:paraId="6A6AB797" w14:textId="3FD26588" w:rsidR="00A4408A" w:rsidRPr="00575813" w:rsidRDefault="00A4408A" w:rsidP="00DB186A">
            <w:pPr>
              <w:rPr>
                <w:rFonts w:ascii="Arial" w:hAnsi="Arial" w:cs="Arial"/>
                <w:sz w:val="20"/>
                <w:szCs w:val="20"/>
              </w:rPr>
            </w:pPr>
            <w:r w:rsidRPr="00575813"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524" w:type="dxa"/>
          </w:tcPr>
          <w:p w14:paraId="1B121D8F" w14:textId="77777777" w:rsidR="00A4408A" w:rsidRPr="00575813" w:rsidRDefault="00A4408A" w:rsidP="00DB18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3A24CD" w14:textId="77777777" w:rsidR="00CE0B18" w:rsidRPr="00575813" w:rsidRDefault="00CE0B18" w:rsidP="00DB186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29" w:type="dxa"/>
        <w:tblLook w:val="04A0" w:firstRow="1" w:lastRow="0" w:firstColumn="1" w:lastColumn="0" w:noHBand="0" w:noVBand="1"/>
      </w:tblPr>
      <w:tblGrid>
        <w:gridCol w:w="793"/>
        <w:gridCol w:w="3864"/>
        <w:gridCol w:w="2133"/>
        <w:gridCol w:w="1924"/>
        <w:gridCol w:w="2115"/>
      </w:tblGrid>
      <w:tr w:rsidR="00D33C62" w:rsidRPr="00575813" w14:paraId="53C22F01" w14:textId="77777777" w:rsidTr="00D33C62">
        <w:trPr>
          <w:trHeight w:val="741"/>
        </w:trPr>
        <w:tc>
          <w:tcPr>
            <w:tcW w:w="793" w:type="dxa"/>
          </w:tcPr>
          <w:p w14:paraId="3ED8A876" w14:textId="77777777" w:rsidR="00D33C62" w:rsidRPr="00575813" w:rsidRDefault="00D33C62" w:rsidP="00D33C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813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864" w:type="dxa"/>
          </w:tcPr>
          <w:p w14:paraId="18C387CB" w14:textId="77777777" w:rsidR="00D33C62" w:rsidRPr="00575813" w:rsidRDefault="00D33C62" w:rsidP="00D33C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813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133" w:type="dxa"/>
          </w:tcPr>
          <w:p w14:paraId="2E4F9454" w14:textId="66A433B2" w:rsidR="00D33C62" w:rsidRPr="00575813" w:rsidRDefault="00D33C62" w:rsidP="00D33C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Quantity per Year</w:t>
            </w:r>
          </w:p>
        </w:tc>
        <w:tc>
          <w:tcPr>
            <w:tcW w:w="1924" w:type="dxa"/>
          </w:tcPr>
          <w:p w14:paraId="2EC095CB" w14:textId="03E3149D" w:rsidR="00D33C62" w:rsidRPr="00575813" w:rsidRDefault="00D33C62" w:rsidP="00D33C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813">
              <w:rPr>
                <w:rFonts w:ascii="Arial" w:hAnsi="Arial" w:cs="Arial"/>
                <w:b/>
                <w:sz w:val="20"/>
                <w:szCs w:val="20"/>
              </w:rPr>
              <w:t>Unit of Measure</w:t>
            </w:r>
          </w:p>
        </w:tc>
        <w:tc>
          <w:tcPr>
            <w:tcW w:w="2115" w:type="dxa"/>
          </w:tcPr>
          <w:p w14:paraId="668692FF" w14:textId="6F80CB80" w:rsidR="00D33C62" w:rsidRPr="00575813" w:rsidRDefault="00D33C62" w:rsidP="00D33C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813">
              <w:rPr>
                <w:rFonts w:ascii="Arial" w:hAnsi="Arial" w:cs="Arial"/>
                <w:b/>
                <w:sz w:val="20"/>
                <w:szCs w:val="20"/>
              </w:rPr>
              <w:t xml:space="preserve">Price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DHHS</w:t>
            </w:r>
          </w:p>
        </w:tc>
      </w:tr>
      <w:tr w:rsidR="00D33C62" w:rsidRPr="00575813" w14:paraId="69DFAC50" w14:textId="77777777" w:rsidTr="00D33C62">
        <w:trPr>
          <w:trHeight w:val="725"/>
        </w:trPr>
        <w:tc>
          <w:tcPr>
            <w:tcW w:w="793" w:type="dxa"/>
          </w:tcPr>
          <w:p w14:paraId="5B92288E" w14:textId="77777777" w:rsidR="00D33C62" w:rsidRPr="00575813" w:rsidRDefault="00D33C62" w:rsidP="00D33C62">
            <w:pPr>
              <w:rPr>
                <w:rFonts w:ascii="Arial" w:hAnsi="Arial" w:cs="Arial"/>
                <w:sz w:val="20"/>
                <w:szCs w:val="20"/>
              </w:rPr>
            </w:pPr>
            <w:r w:rsidRPr="005758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64" w:type="dxa"/>
          </w:tcPr>
          <w:p w14:paraId="112ABEB5" w14:textId="2B5523A7" w:rsidR="00D33C62" w:rsidRPr="00575813" w:rsidRDefault="00D33C62" w:rsidP="00D33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Review Officer, in-person testimony in Lincoln, NE, at a hearing.</w:t>
            </w:r>
          </w:p>
        </w:tc>
        <w:tc>
          <w:tcPr>
            <w:tcW w:w="2133" w:type="dxa"/>
          </w:tcPr>
          <w:p w14:paraId="31EE9D6F" w14:textId="44601958" w:rsidR="00D33C62" w:rsidRPr="00575813" w:rsidRDefault="00D33C62" w:rsidP="00D33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4" w:type="dxa"/>
          </w:tcPr>
          <w:p w14:paraId="74DC33D3" w14:textId="399A7D76" w:rsidR="00D33C62" w:rsidRPr="00575813" w:rsidRDefault="00D33C62" w:rsidP="00D33C62">
            <w:pPr>
              <w:rPr>
                <w:rFonts w:ascii="Arial" w:hAnsi="Arial" w:cs="Arial"/>
                <w:sz w:val="20"/>
                <w:szCs w:val="20"/>
              </w:rPr>
            </w:pPr>
            <w:r w:rsidRPr="00575813">
              <w:rPr>
                <w:rFonts w:ascii="Arial" w:hAnsi="Arial" w:cs="Arial"/>
                <w:sz w:val="20"/>
                <w:szCs w:val="20"/>
              </w:rPr>
              <w:t>Each</w:t>
            </w:r>
            <w:r>
              <w:rPr>
                <w:rFonts w:ascii="Arial" w:hAnsi="Arial" w:cs="Arial"/>
                <w:sz w:val="20"/>
                <w:szCs w:val="20"/>
              </w:rPr>
              <w:t xml:space="preserve"> Occurrence</w:t>
            </w:r>
          </w:p>
        </w:tc>
        <w:tc>
          <w:tcPr>
            <w:tcW w:w="2115" w:type="dxa"/>
          </w:tcPr>
          <w:p w14:paraId="2ED98568" w14:textId="4F01F9BB" w:rsidR="00D33C62" w:rsidRPr="00575813" w:rsidRDefault="00D33C62" w:rsidP="00D33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C148CC" w14:textId="77777777" w:rsidR="00E06DD8" w:rsidRPr="00575813" w:rsidRDefault="00E06DD8">
      <w:pPr>
        <w:rPr>
          <w:rFonts w:ascii="Arial" w:hAnsi="Arial" w:cs="Arial"/>
          <w:sz w:val="20"/>
          <w:szCs w:val="20"/>
        </w:rPr>
      </w:pPr>
    </w:p>
    <w:sectPr w:rsidR="00E06DD8" w:rsidRPr="00575813" w:rsidSect="00E06D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64C32" w16cex:dateUtc="2021-08-05T16:38:00Z"/>
  <w16cex:commentExtensible w16cex:durableId="24A025AE" w16cex:dateUtc="2021-07-19T21:24:00Z"/>
  <w16cex:commentExtensible w16cex:durableId="24A025A2" w16cex:dateUtc="2021-07-19T21:24:00Z"/>
  <w16cex:commentExtensible w16cex:durableId="24A0263E" w16cex:dateUtc="2021-07-19T2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7AB514" w16cid:durableId="24B64C32"/>
  <w16cid:commentId w16cid:paraId="19FB4546" w16cid:durableId="24A025AE"/>
  <w16cid:commentId w16cid:paraId="4D1E8455" w16cid:durableId="24A025A2"/>
  <w16cid:commentId w16cid:paraId="05DB5DE3" w16cid:durableId="24A0263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74EAA"/>
    <w:multiLevelType w:val="hybridMultilevel"/>
    <w:tmpl w:val="12E8A3CA"/>
    <w:lvl w:ilvl="0" w:tplc="10502002">
      <w:start w:val="1"/>
      <w:numFmt w:val="lowerLetter"/>
      <w:lvlText w:val="%1)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CA5F9A">
      <w:start w:val="1"/>
      <w:numFmt w:val="lowerLetter"/>
      <w:lvlText w:val="%2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F4204A">
      <w:start w:val="1"/>
      <w:numFmt w:val="lowerRoman"/>
      <w:lvlText w:val="%3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54F046">
      <w:start w:val="1"/>
      <w:numFmt w:val="decimal"/>
      <w:lvlText w:val="%4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806E7E">
      <w:start w:val="1"/>
      <w:numFmt w:val="lowerLetter"/>
      <w:lvlText w:val="%5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448BC">
      <w:start w:val="1"/>
      <w:numFmt w:val="lowerRoman"/>
      <w:lvlText w:val="%6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BAF156">
      <w:start w:val="1"/>
      <w:numFmt w:val="decimal"/>
      <w:lvlText w:val="%7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583456">
      <w:start w:val="1"/>
      <w:numFmt w:val="lowerLetter"/>
      <w:lvlText w:val="%8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98EBDA">
      <w:start w:val="1"/>
      <w:numFmt w:val="lowerRoman"/>
      <w:lvlText w:val="%9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D8"/>
    <w:rsid w:val="00053812"/>
    <w:rsid w:val="000E745E"/>
    <w:rsid w:val="000F46AF"/>
    <w:rsid w:val="00132179"/>
    <w:rsid w:val="001C4F2B"/>
    <w:rsid w:val="001E290B"/>
    <w:rsid w:val="00251AE8"/>
    <w:rsid w:val="00304E3E"/>
    <w:rsid w:val="003B4094"/>
    <w:rsid w:val="00575813"/>
    <w:rsid w:val="005844C3"/>
    <w:rsid w:val="00675CAE"/>
    <w:rsid w:val="007224E5"/>
    <w:rsid w:val="0082233E"/>
    <w:rsid w:val="009152D1"/>
    <w:rsid w:val="00976F36"/>
    <w:rsid w:val="00A4408A"/>
    <w:rsid w:val="00AD5EA8"/>
    <w:rsid w:val="00B41989"/>
    <w:rsid w:val="00CE0B18"/>
    <w:rsid w:val="00D1740E"/>
    <w:rsid w:val="00D33C62"/>
    <w:rsid w:val="00DB186A"/>
    <w:rsid w:val="00DD7DD7"/>
    <w:rsid w:val="00E06DD8"/>
    <w:rsid w:val="00E12D9E"/>
    <w:rsid w:val="00EE10EE"/>
    <w:rsid w:val="00F31FB6"/>
    <w:rsid w:val="00F5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48CA"/>
  <w15:chartTrackingRefBased/>
  <w15:docId w15:val="{62CC6E61-C717-44BD-B30B-CD1C9942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7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4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4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19" ma:contentTypeDescription="Create a new document." ma:contentTypeScope="" ma:versionID="f7915dab52649cd92e6d04636dace43d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49b2cd4af606eafcda2092c4482d56cd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Procurement_x0020_Contact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2:Procurement_x0020_Contact_x003a_E-mail_x0020_Address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  <xsd:element name="RoutingRuleDescription" ma:index="34" nillable="true" ma:displayName="Description" ma:hidden="true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RFA - Subaward"/>
          <xsd:enumeration value="RFA – State Funds Grant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2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3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4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5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6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28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yer xmlns="145fd85a-e86f-4392-ab15-fd3ffc15a3e1">
      <UserInfo>
        <DisplayName>Holly Glasgow</DisplayName>
        <AccountId>18441</AccountId>
        <AccountType/>
      </UserInfo>
    </Buyer>
    <Legal_x0020_Approval xmlns="e3709f45-ee57-4ddf-8078-855eb8d761aa" xsi:nil="true"/>
    <Programs xmlns="145fd85a-e86f-4392-ab15-fd3ffc15a3e1">Licensure Unit</Programs>
    <Deviation xmlns="145fd85a-e86f-4392-ab15-fd3ffc15a3e1">No</Deviation>
    <Contract_x0020_Exp._x0020_Date xmlns="145fd85a-e86f-4392-ab15-fd3ffc15a3e1">2020-06-30T05:00:00+00:00</Contract_x0020_Exp._x0020_Date>
    <E1_x0020__x0023_ xmlns="145fd85a-e86f-4392-ab15-fd3ffc15a3e1" xsi:nil="true"/>
    <DAS_x0020_Status xmlns="145fd85a-e86f-4392-ab15-fd3ffc15a3e1" xsi:nil="true"/>
    <DocumentSetDescription xmlns="http://schemas.microsoft.com/sharepoint/v3" xsi:nil="true"/>
    <Stakeholders xmlns="145fd85a-e86f-4392-ab15-fd3ffc15a3e1">
      <UserInfo>
        <DisplayName>Jennifer Crouse</DisplayName>
        <AccountId>14628</AccountId>
        <AccountType/>
      </UserInfo>
    </Stakeholders>
    <Est._x0020__x0024__x0020_Amount xmlns="145fd85a-e86f-4392-ab15-fd3ffc15a3e1" xsi:nil="true"/>
    <Funding_x0020_Source xmlns="145fd85a-e86f-4392-ab15-fd3ffc15a3e1" xsi:nil="true"/>
    <Bid_x0020_Type xmlns="145fd85a-e86f-4392-ab15-fd3ffc15a3e1">RFP</Bid_x0020_Type>
    <RFP_x0020_Contacts xmlns="145fd85a-e86f-4392-ab15-fd3ffc15a3e1">
      <UserInfo>
        <DisplayName>Matthew Gelvin</DisplayName>
        <AccountId>11001</AccountId>
        <AccountType/>
      </UserInfo>
      <UserInfo>
        <DisplayName>Anna Harrison</DisplayName>
        <AccountId>2613</AccountId>
        <AccountType/>
      </UserInfo>
    </RFP_x0020_Contacts>
    <DAS_x0020_Buyer xmlns="145fd85a-e86f-4392-ab15-fd3ffc15a3e1" xsi:nil="true"/>
    <Procurement_x0020_Contact xmlns="145fd85a-e86f-4392-ab15-fd3ffc15a3e1" xsi:nil="true"/>
    <Divisions xmlns="145fd85a-e86f-4392-ab15-fd3ffc15a3e1">
      <Value>Public Health</Value>
    </Divisions>
    <RFP_x0020_Status xmlns="145fd85a-e86f-4392-ab15-fd3ffc15a3e1">OK to Load</RFP_x0020_Status>
    <Target_x0020_Date xmlns="145fd85a-e86f-4392-ab15-fd3ffc15a3e1" xsi:nil="true"/>
    <SPB_x0020_Processed xmlns="145fd85a-e86f-4392-ab15-fd3ffc15a3e1">SPB</SPB_x0020_Processed>
    <Date_x0020_Sent_x0020_for_x0020_PROC_x0020_Review xmlns="145fd85a-e86f-4392-ab15-fd3ffc15a3e1" xsi:nil="true"/>
    <Release_x0020_Date xmlns="145fd85a-e86f-4392-ab15-fd3ffc15a3e1" xsi:nil="true"/>
    <Cost_x0020_Avoidance xmlns="145fd85a-e86f-4392-ab15-fd3ffc15a3e1" xsi:nil="true"/>
    <Cost_x0020_Avoidance_x0020_Method xmlns="145fd85a-e86f-4392-ab15-fd3ffc15a3e1" xsi:nil="true"/>
    <Attachments_x003f_ xmlns="145fd85a-e86f-4392-ab15-fd3ffc15a3e1">Yes, Final Document</Attachments_x003f_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17958B-CC9C-4392-9876-37812BF185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26EB4-9922-43EA-A6C4-D0A0896FE9F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919B0E3-4A52-4414-B271-6704851F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F9BB4A-A959-4DC1-9760-FDB5CC87BF4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3709f45-ee57-4ddf-8078-855eb8d761aa"/>
    <ds:schemaRef ds:uri="145fd85a-e86f-4392-ab15-fd3ffc15a3e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2 - Cost Proposal Body Fluid Screening</vt:lpstr>
    </vt:vector>
  </TitlesOfParts>
  <Company>State of Nebraska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2 - Cost Proposal Body Fluid Screening</dc:title>
  <dc:subject/>
  <dc:creator>Sarah Rowe</dc:creator>
  <cp:keywords/>
  <dc:description/>
  <cp:lastModifiedBy>Holly Glasgow</cp:lastModifiedBy>
  <cp:revision>2</cp:revision>
  <dcterms:created xsi:type="dcterms:W3CDTF">2021-08-18T16:33:00Z</dcterms:created>
  <dcterms:modified xsi:type="dcterms:W3CDTF">2021-08-18T16:33:00Z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0x0101009C6FD583ED96254DA513098C802FBCEB</vt:lpwstr>
  </property>
  <property fmtid="{D5CDD505-2E9C-101B-9397-08002B2CF9AE}" pid="3" name="_docset_NoMedatataSyncRequired">
    <vt:lpwstr>False</vt:lpwstr>
  </property>
  <property fmtid="{D5CDD505-2E9C-101B-9397-08002B2CF9AE}" pid="4" name="_AdHocReviewCycleID">
    <vt:i4>1560461339</vt:i4>
  </property>
  <property fmtid="{D5CDD505-2E9C-101B-9397-08002B2CF9AE}" pid="5" name="_NewReviewCycle">
    <vt:lpwstr/>
  </property>
  <property fmtid="{D5CDD505-2E9C-101B-9397-08002B2CF9AE}" pid="6" name="_EmailSubject">
    <vt:lpwstr>RFP to Post</vt:lpwstr>
  </property>
  <property fmtid="{D5CDD505-2E9C-101B-9397-08002B2CF9AE}" pid="7" name="_AuthorEmail">
    <vt:lpwstr>Holly.Glasgow@nebraska.gov</vt:lpwstr>
  </property>
  <property fmtid="{D5CDD505-2E9C-101B-9397-08002B2CF9AE}" pid="8" name="_AuthorEmailDisplayName">
    <vt:lpwstr>Glasgow, Holly</vt:lpwstr>
  </property>
  <property fmtid="{D5CDD505-2E9C-101B-9397-08002B2CF9AE}" pid="9" name="_PreviousAdHocReviewCycleID">
    <vt:i4>-645194173</vt:i4>
  </property>
</Properties>
</file>